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81" w:rsidRDefault="00026E81" w:rsidP="00026E81">
      <w:pPr>
        <w:jc w:val="center"/>
        <w:rPr>
          <w:b/>
          <w:sz w:val="24"/>
          <w:szCs w:val="24"/>
        </w:rPr>
      </w:pPr>
    </w:p>
    <w:p w:rsidR="00026E81" w:rsidRPr="0088411E" w:rsidRDefault="00026E81" w:rsidP="00026E81">
      <w:pPr>
        <w:jc w:val="center"/>
        <w:rPr>
          <w:sz w:val="24"/>
          <w:szCs w:val="24"/>
        </w:rPr>
      </w:pPr>
      <w:r w:rsidRPr="0088411E">
        <w:rPr>
          <w:sz w:val="24"/>
          <w:szCs w:val="24"/>
        </w:rPr>
        <w:t>REGULAMENT-CADRU</w:t>
      </w:r>
    </w:p>
    <w:p w:rsidR="00026E81" w:rsidRPr="0088411E" w:rsidRDefault="00026E81" w:rsidP="00026E81">
      <w:pPr>
        <w:jc w:val="center"/>
        <w:rPr>
          <w:sz w:val="24"/>
          <w:szCs w:val="24"/>
        </w:rPr>
      </w:pPr>
      <w:r w:rsidRPr="0088411E">
        <w:rPr>
          <w:sz w:val="24"/>
          <w:szCs w:val="24"/>
        </w:rPr>
        <w:t>de organizare şi funcţionare a unităţilor de învăţământ preuniversitar</w:t>
      </w:r>
    </w:p>
    <w:p w:rsidR="00026E81" w:rsidRDefault="00026E81" w:rsidP="00026E81">
      <w:pPr>
        <w:rPr>
          <w:b/>
          <w:sz w:val="24"/>
          <w:szCs w:val="24"/>
        </w:rPr>
      </w:pPr>
    </w:p>
    <w:p w:rsidR="00026E81" w:rsidRPr="0088411E" w:rsidRDefault="00026E81" w:rsidP="00026E81">
      <w:pPr>
        <w:jc w:val="center"/>
        <w:rPr>
          <w:b/>
          <w:sz w:val="24"/>
          <w:szCs w:val="24"/>
        </w:rPr>
      </w:pPr>
      <w:r w:rsidRPr="0088411E">
        <w:rPr>
          <w:b/>
          <w:sz w:val="24"/>
          <w:szCs w:val="24"/>
        </w:rPr>
        <w:t>CAPITOLUL IV</w:t>
      </w:r>
    </w:p>
    <w:p w:rsidR="00026E81" w:rsidRPr="0088411E" w:rsidRDefault="00026E81" w:rsidP="00026E81">
      <w:pPr>
        <w:jc w:val="center"/>
        <w:rPr>
          <w:b/>
          <w:sz w:val="24"/>
          <w:szCs w:val="24"/>
        </w:rPr>
      </w:pPr>
      <w:r>
        <w:rPr>
          <w:b/>
          <w:sz w:val="24"/>
          <w:szCs w:val="24"/>
        </w:rPr>
        <w:t xml:space="preserve">Transferul </w:t>
      </w:r>
      <w:r w:rsidRPr="0088411E">
        <w:rPr>
          <w:b/>
          <w:sz w:val="24"/>
          <w:szCs w:val="24"/>
        </w:rPr>
        <w:t>elevilor</w:t>
      </w:r>
      <w:bookmarkStart w:id="0" w:name="_GoBack"/>
      <w:bookmarkEnd w:id="0"/>
    </w:p>
    <w:p w:rsidR="00026E81" w:rsidRPr="0088411E" w:rsidRDefault="00026E81" w:rsidP="00026E81">
      <w:pPr>
        <w:jc w:val="center"/>
        <w:rPr>
          <w:sz w:val="24"/>
          <w:szCs w:val="24"/>
        </w:rPr>
      </w:pPr>
    </w:p>
    <w:p w:rsidR="00026E81" w:rsidRPr="0088411E" w:rsidRDefault="00026E81" w:rsidP="00026E81">
      <w:pPr>
        <w:jc w:val="both"/>
        <w:rPr>
          <w:sz w:val="22"/>
          <w:szCs w:val="22"/>
        </w:rPr>
      </w:pPr>
      <w:r w:rsidRPr="0088411E">
        <w:rPr>
          <w:b/>
          <w:sz w:val="22"/>
          <w:szCs w:val="22"/>
          <w:highlight w:val="lightGray"/>
        </w:rPr>
        <w:t>Art. 148.</w:t>
      </w:r>
      <w:r w:rsidRPr="0088411E">
        <w:rPr>
          <w:sz w:val="22"/>
          <w:szCs w:val="22"/>
        </w:rPr>
        <w:t xml:space="preserve"> — Copiii şi elevii au dreptul să se transfere de la o formaţiune de studiu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şi funcţionare a unităţii de învăţământ la care se face transferul.</w:t>
      </w:r>
    </w:p>
    <w:p w:rsidR="00026E81" w:rsidRPr="0088411E" w:rsidRDefault="00026E81" w:rsidP="00026E81">
      <w:pPr>
        <w:jc w:val="both"/>
        <w:rPr>
          <w:sz w:val="22"/>
          <w:szCs w:val="22"/>
        </w:rPr>
      </w:pPr>
      <w:r w:rsidRPr="0088411E">
        <w:rPr>
          <w:b/>
          <w:sz w:val="22"/>
          <w:szCs w:val="22"/>
          <w:highlight w:val="lightGray"/>
        </w:rPr>
        <w:t>Art. 149.</w:t>
      </w:r>
      <w:r w:rsidRPr="0088411E">
        <w:rPr>
          <w:sz w:val="22"/>
          <w:szCs w:val="22"/>
        </w:rPr>
        <w:t xml:space="preserve"> — Transferul copiilor şi elevilor se face cu aprobarea consiliului de administraţie al unităţii de învăţământ la care se solicită transferul şi cu avizul consultativ al consiliului de administraţie al unităţii de învăţământ de la care se transferă.</w:t>
      </w:r>
    </w:p>
    <w:p w:rsidR="00026E81" w:rsidRPr="00175FED" w:rsidRDefault="00026E81" w:rsidP="00026E81">
      <w:pPr>
        <w:jc w:val="both"/>
        <w:rPr>
          <w:sz w:val="22"/>
          <w:szCs w:val="22"/>
        </w:rPr>
      </w:pPr>
      <w:r w:rsidRPr="0088411E">
        <w:rPr>
          <w:b/>
          <w:sz w:val="22"/>
          <w:szCs w:val="22"/>
          <w:highlight w:val="lightGray"/>
        </w:rPr>
        <w:t>Art. 150.</w:t>
      </w:r>
      <w:r w:rsidRPr="0088411E">
        <w:rPr>
          <w:i/>
          <w:sz w:val="22"/>
          <w:szCs w:val="22"/>
          <w:u w:val="single"/>
        </w:rPr>
        <w:t xml:space="preserve"> — </w:t>
      </w:r>
      <w:r w:rsidRPr="00175FED">
        <w:rPr>
          <w:sz w:val="22"/>
          <w:szCs w:val="22"/>
        </w:rPr>
        <w:t>„(1) în învăţământul antepreşcolar/preşcolar, primar, gimnazial, elevii se pot transfera de La o grupă/formaţiune de studiu la alta, în aceeaşi unitate de învăţământ sau de la o unitate de învăţământ la alta, în limita efectivelor maxime de antepreşcolari/preşcolari/elevi la grupă/formaţiune de studiu.”</w:t>
      </w:r>
    </w:p>
    <w:p w:rsidR="00026E81" w:rsidRPr="0088411E" w:rsidRDefault="00026E81" w:rsidP="00026E81">
      <w:pPr>
        <w:jc w:val="both"/>
        <w:rPr>
          <w:sz w:val="22"/>
          <w:szCs w:val="22"/>
        </w:rPr>
      </w:pPr>
      <w:r w:rsidRPr="0088411E">
        <w:rPr>
          <w:b/>
          <w:sz w:val="22"/>
          <w:szCs w:val="22"/>
        </w:rPr>
        <w:t>(2)</w:t>
      </w:r>
      <w:r w:rsidRPr="0088411E">
        <w:rPr>
          <w:sz w:val="22"/>
          <w:szCs w:val="22"/>
        </w:rPr>
        <w:t xml:space="preserve"> În situaţii excepţionale, în care transferul nu se poate face în limita efectivelor maxime de antepreşcolari/preşcolari/elevi la grupă/formaţiune de studiu, inspectoratul şcolar poate aproba depăşirea efectivului maxim, în scop ul efectuării transferului</w:t>
      </w:r>
    </w:p>
    <w:p w:rsidR="00026E81" w:rsidRPr="0088411E" w:rsidRDefault="00026E81" w:rsidP="00026E81">
      <w:pPr>
        <w:jc w:val="both"/>
        <w:rPr>
          <w:sz w:val="22"/>
          <w:szCs w:val="22"/>
        </w:rPr>
      </w:pPr>
      <w:r w:rsidRPr="0088411E">
        <w:rPr>
          <w:b/>
          <w:sz w:val="22"/>
          <w:szCs w:val="22"/>
          <w:highlight w:val="lightGray"/>
        </w:rPr>
        <w:t>Art. 154.</w:t>
      </w:r>
      <w:r w:rsidRPr="0088411E">
        <w:rPr>
          <w:b/>
          <w:sz w:val="22"/>
          <w:szCs w:val="22"/>
        </w:rPr>
        <w:t xml:space="preserve"> — (1)</w:t>
      </w:r>
      <w:r w:rsidRPr="0088411E">
        <w:rPr>
          <w:sz w:val="22"/>
          <w:szCs w:val="22"/>
        </w:rPr>
        <w:t xml:space="preserve"> Transferul elevilor de la o formaţiune de studiu cu predarea unei limbi de circulaţie internaţională în regim normal la o formaţiune de studiu cu predare intensivă, respectiv bilingvă, a unei limbi de circulaţie internaţională se realizează astfel:</w:t>
      </w:r>
    </w:p>
    <w:p w:rsidR="00026E81" w:rsidRPr="0088411E" w:rsidRDefault="00026E81" w:rsidP="00026E81">
      <w:pPr>
        <w:jc w:val="both"/>
        <w:rPr>
          <w:sz w:val="22"/>
          <w:szCs w:val="22"/>
        </w:rPr>
      </w:pPr>
      <w:r w:rsidRPr="0088411E">
        <w:rPr>
          <w:sz w:val="22"/>
          <w:szCs w:val="22"/>
        </w:rPr>
        <w:t>a) la nivel gimnazial, începând cu clasa a V-a, elevii care se pot transfera de la o unitate de învăţământ la alta, de la o formaţiune de studiu cu predarea unei limbi de circulaţie internaţională în regim normal la o formaţiune de studiu cu predare intensivă a unei limbi de circulaţie internaţională vor susţine un test de aptitudini şi cunoştinţe la limba modernă;</w:t>
      </w:r>
    </w:p>
    <w:p w:rsidR="00026E81" w:rsidRPr="0088411E" w:rsidRDefault="00026E81" w:rsidP="00026E81">
      <w:pPr>
        <w:jc w:val="both"/>
        <w:rPr>
          <w:sz w:val="22"/>
          <w:szCs w:val="22"/>
        </w:rPr>
      </w:pPr>
      <w:r w:rsidRPr="0088411E">
        <w:rPr>
          <w:sz w:val="22"/>
          <w:szCs w:val="22"/>
        </w:rPr>
        <w:t>b) testul de aptitudini şi cunoştinţe va fi elaborat la nivelul unităţii de învăţământ în care elevul se transferă, de către o comisie desemnată în acest sens de directorul unităţii de învăţământ;</w:t>
      </w:r>
    </w:p>
    <w:p w:rsidR="00026E81" w:rsidRPr="0088411E" w:rsidRDefault="00026E81" w:rsidP="00026E81">
      <w:pPr>
        <w:jc w:val="both"/>
        <w:rPr>
          <w:sz w:val="22"/>
          <w:szCs w:val="22"/>
        </w:rPr>
      </w:pPr>
      <w:r w:rsidRPr="0088411E">
        <w:rPr>
          <w:sz w:val="22"/>
          <w:szCs w:val="22"/>
        </w:rPr>
        <w:t>Art. 155. — (1) Transferurile în care se păstrează forma de învăţământ, profilul şi/sau specializarea se efectuează, de regulă, în perioada intersemestrială sau a vacanţei de vară. Prin excepţie, transferurile de la nivelurile antepreşcolar şi preşcolar se pot face oricând în timpul anului şcolar, ţinând cont de interesul superior al copilului.</w:t>
      </w:r>
    </w:p>
    <w:p w:rsidR="00026E81" w:rsidRPr="0088411E" w:rsidRDefault="00026E81" w:rsidP="00026E81">
      <w:pPr>
        <w:pStyle w:val="Bodytext20"/>
        <w:shd w:val="clear" w:color="auto" w:fill="auto"/>
        <w:spacing w:line="245" w:lineRule="exact"/>
        <w:ind w:firstLine="0"/>
        <w:jc w:val="left"/>
        <w:rPr>
          <w:rFonts w:ascii="Times New Roman" w:hAnsi="Times New Roman" w:cs="Times New Roman"/>
          <w:sz w:val="22"/>
          <w:szCs w:val="22"/>
        </w:rPr>
      </w:pPr>
      <w:r w:rsidRPr="0088411E">
        <w:rPr>
          <w:rFonts w:ascii="Times New Roman" w:hAnsi="Times New Roman" w:cs="Times New Roman"/>
          <w:sz w:val="22"/>
          <w:szCs w:val="22"/>
        </w:rPr>
        <w:t>„(3) Transferurile in care se păstrează forma de învăţământ, cu schimbarea profilului şi/sau specializării se efectuează, de regulă, în perioada vacanţei de vara, conform hotărârii consiliului de administraţie al unităţii de învăţământ la care se solicită transferul."</w:t>
      </w:r>
    </w:p>
    <w:p w:rsidR="00026E81" w:rsidRPr="0088411E" w:rsidRDefault="00026E81" w:rsidP="00026E81">
      <w:pPr>
        <w:jc w:val="both"/>
        <w:rPr>
          <w:sz w:val="22"/>
          <w:szCs w:val="22"/>
        </w:rPr>
      </w:pPr>
      <w:r w:rsidRPr="0088411E">
        <w:rPr>
          <w:b/>
          <w:sz w:val="22"/>
          <w:szCs w:val="22"/>
        </w:rPr>
        <w:t>(4)</w:t>
      </w:r>
      <w:r w:rsidRPr="0088411E">
        <w:rPr>
          <w:sz w:val="22"/>
          <w:szCs w:val="22"/>
        </w:rPr>
        <w:t xml:space="preserve"> Transferul elevilor în timpul anului şcolar se poate efectua, în mod excepţional, cu respectarea prevederilor prezentului regulament, în următoarele situaţii:</w:t>
      </w:r>
    </w:p>
    <w:p w:rsidR="00026E81" w:rsidRPr="0088411E" w:rsidRDefault="00026E81" w:rsidP="00026E81">
      <w:pPr>
        <w:jc w:val="both"/>
        <w:rPr>
          <w:sz w:val="22"/>
          <w:szCs w:val="22"/>
        </w:rPr>
      </w:pPr>
      <w:r w:rsidRPr="0088411E">
        <w:rPr>
          <w:sz w:val="22"/>
          <w:szCs w:val="22"/>
        </w:rPr>
        <w:t>a) la schimbarea domiciliului părinţilor într-o altă localitate, respectiv într-un alt sector al municipiului Bucureşti;</w:t>
      </w:r>
    </w:p>
    <w:p w:rsidR="00026E81" w:rsidRPr="0088411E" w:rsidRDefault="00026E81" w:rsidP="00026E81">
      <w:pPr>
        <w:jc w:val="both"/>
        <w:rPr>
          <w:sz w:val="22"/>
          <w:szCs w:val="22"/>
        </w:rPr>
      </w:pPr>
      <w:r w:rsidRPr="0088411E">
        <w:rPr>
          <w:sz w:val="22"/>
          <w:szCs w:val="22"/>
        </w:rPr>
        <w:t>b) în cazul unei recomandări medicale, eliberată pe baza unei expertize medicale efectuate de direcţia de sănătate publică;</w:t>
      </w:r>
    </w:p>
    <w:p w:rsidR="00026E81" w:rsidRPr="0088411E" w:rsidRDefault="00026E81" w:rsidP="00026E81">
      <w:pPr>
        <w:jc w:val="both"/>
        <w:rPr>
          <w:sz w:val="22"/>
          <w:szCs w:val="22"/>
        </w:rPr>
      </w:pPr>
      <w:r w:rsidRPr="0088411E">
        <w:rPr>
          <w:sz w:val="22"/>
          <w:szCs w:val="22"/>
        </w:rPr>
        <w:t>c) de la clasele de învăţământ liceal la clasele de învăţământ profesional;</w:t>
      </w:r>
    </w:p>
    <w:p w:rsidR="00026E81" w:rsidRPr="0088411E" w:rsidRDefault="00026E81" w:rsidP="00026E81">
      <w:pPr>
        <w:jc w:val="both"/>
        <w:rPr>
          <w:sz w:val="22"/>
          <w:szCs w:val="22"/>
        </w:rPr>
      </w:pPr>
      <w:r w:rsidRPr="0088411E">
        <w:rPr>
          <w:sz w:val="22"/>
          <w:szCs w:val="22"/>
        </w:rPr>
        <w:t>d) la/de la învăţământul de artă, sportiv şi militar;</w:t>
      </w:r>
    </w:p>
    <w:p w:rsidR="00026E81" w:rsidRPr="0088411E" w:rsidRDefault="00026E81" w:rsidP="00026E81">
      <w:pPr>
        <w:jc w:val="both"/>
        <w:rPr>
          <w:sz w:val="22"/>
          <w:szCs w:val="22"/>
        </w:rPr>
      </w:pPr>
      <w:r w:rsidRPr="0088411E">
        <w:rPr>
          <w:sz w:val="22"/>
          <w:szCs w:val="22"/>
        </w:rPr>
        <w:t>e) de la clasele cu program de predare intensivă a unei limbi străine sau cu program de predare bilingv la celelalte clase;</w:t>
      </w:r>
    </w:p>
    <w:p w:rsidR="00026E81" w:rsidRPr="0088411E" w:rsidRDefault="00026E81" w:rsidP="00026E81">
      <w:pPr>
        <w:jc w:val="both"/>
        <w:rPr>
          <w:sz w:val="22"/>
          <w:szCs w:val="22"/>
        </w:rPr>
      </w:pPr>
      <w:r w:rsidRPr="0088411E">
        <w:rPr>
          <w:sz w:val="22"/>
          <w:szCs w:val="22"/>
        </w:rPr>
        <w:t>f) în alte situaţii excepţionale, cu aprobarea consiliului de administraţie al inspectoratului şcolar.</w:t>
      </w:r>
    </w:p>
    <w:p w:rsidR="00026E81" w:rsidRPr="0088411E" w:rsidRDefault="00026E81" w:rsidP="00026E81">
      <w:pPr>
        <w:jc w:val="both"/>
        <w:rPr>
          <w:sz w:val="22"/>
          <w:szCs w:val="22"/>
        </w:rPr>
      </w:pPr>
      <w:r w:rsidRPr="0088411E">
        <w:rPr>
          <w:b/>
          <w:sz w:val="22"/>
          <w:szCs w:val="22"/>
          <w:highlight w:val="lightGray"/>
        </w:rPr>
        <w:t>Art. 156.</w:t>
      </w:r>
      <w:r w:rsidRPr="0088411E">
        <w:rPr>
          <w:sz w:val="22"/>
          <w:szCs w:val="22"/>
        </w:rPr>
        <w:t xml:space="preserve"> — Gemenii, tripleţii se pot transfera în clasa celui cu media mai mare sau invers, la cererea părintelui, tutorelui sau susţinătorului legal sau la cererea elevilor dacă aceştia sunt majori, cu aprobarea consiliului de administraţie al unităţii de învăţământ.</w:t>
      </w:r>
    </w:p>
    <w:p w:rsidR="00026E81" w:rsidRPr="0088411E" w:rsidRDefault="00026E81" w:rsidP="00026E81">
      <w:pPr>
        <w:jc w:val="both"/>
        <w:rPr>
          <w:sz w:val="22"/>
          <w:szCs w:val="22"/>
        </w:rPr>
      </w:pPr>
      <w:r w:rsidRPr="0088411E">
        <w:rPr>
          <w:b/>
          <w:sz w:val="22"/>
          <w:szCs w:val="22"/>
          <w:highlight w:val="lightGray"/>
        </w:rPr>
        <w:t>Art. 158.</w:t>
      </w:r>
      <w:r w:rsidRPr="0088411E">
        <w:rPr>
          <w:b/>
          <w:sz w:val="22"/>
          <w:szCs w:val="22"/>
        </w:rPr>
        <w:t xml:space="preserve"> — (1)</w:t>
      </w:r>
      <w:r w:rsidRPr="0088411E">
        <w:rPr>
          <w:sz w:val="22"/>
          <w:szCs w:val="22"/>
        </w:rPr>
        <w:t xml:space="preserve"> Elevii din învăţământul preuniversitar particular sau confesional se pot transfera la unităţi de învăţământ de stat, în condiţiile prezentului regulament.</w:t>
      </w:r>
    </w:p>
    <w:p w:rsidR="00026E81" w:rsidRPr="0088411E" w:rsidRDefault="00026E81" w:rsidP="00026E81">
      <w:pPr>
        <w:jc w:val="both"/>
        <w:rPr>
          <w:sz w:val="22"/>
          <w:szCs w:val="22"/>
        </w:rPr>
      </w:pPr>
      <w:r w:rsidRPr="0088411E">
        <w:rPr>
          <w:b/>
          <w:sz w:val="22"/>
          <w:szCs w:val="22"/>
        </w:rPr>
        <w:t>(2)</w:t>
      </w:r>
      <w:r w:rsidRPr="0088411E">
        <w:rPr>
          <w:sz w:val="22"/>
          <w:szCs w:val="22"/>
        </w:rPr>
        <w:t xml:space="preserve"> Elevii din învăţământul preuniversitar de stat se pot transfera în învăţământul particular, cu acordul unităţii primitoare şi în condiţiile stabilite de propriul regulament de organizare şi funcţionare.</w:t>
      </w:r>
    </w:p>
    <w:p w:rsidR="00026E81" w:rsidRPr="0088411E" w:rsidRDefault="00026E81" w:rsidP="00026E81">
      <w:pPr>
        <w:jc w:val="both"/>
        <w:rPr>
          <w:sz w:val="22"/>
          <w:szCs w:val="22"/>
        </w:rPr>
      </w:pPr>
      <w:r w:rsidRPr="0088411E">
        <w:rPr>
          <w:b/>
          <w:sz w:val="22"/>
          <w:szCs w:val="22"/>
          <w:highlight w:val="lightGray"/>
        </w:rPr>
        <w:t>Art. 159.</w:t>
      </w:r>
      <w:r w:rsidRPr="0088411E">
        <w:rPr>
          <w:b/>
          <w:sz w:val="22"/>
          <w:szCs w:val="22"/>
        </w:rPr>
        <w:t xml:space="preserve"> — (1)</w:t>
      </w:r>
      <w:r w:rsidRPr="0088411E">
        <w:rPr>
          <w:sz w:val="22"/>
          <w:szCs w:val="22"/>
        </w:rPr>
        <w:t xml:space="preserve"> Pentru copiii/tinerii cu cerinţe educaţionale speciale, în funcţie de evoluţia acestora se pot face propuneri de reorientare dinspre învăţământul special/special integrat spre învăţământul de masă şi invers.</w:t>
      </w:r>
    </w:p>
    <w:p w:rsidR="00026E81" w:rsidRPr="0088411E" w:rsidRDefault="00026E81" w:rsidP="00026E81">
      <w:pPr>
        <w:jc w:val="both"/>
        <w:rPr>
          <w:sz w:val="22"/>
          <w:szCs w:val="22"/>
        </w:rPr>
      </w:pPr>
      <w:r w:rsidRPr="0088411E">
        <w:rPr>
          <w:b/>
          <w:sz w:val="22"/>
          <w:szCs w:val="22"/>
        </w:rPr>
        <w:t>(2)</w:t>
      </w:r>
      <w:r w:rsidRPr="0088411E">
        <w:rPr>
          <w:sz w:val="22"/>
          <w:szCs w:val="22"/>
        </w:rPr>
        <w:t xml:space="preserve"> Propunerea de reorientare se face de către cadrul didactic care a lucrat cu copilul în cauză sau de către părinţii, tutorii sau susţinătorii legali ai copilului şi de către consilierul pedagog şcolar. Decizia de reorientare se ia de către comisia de orientare şcolară şi profesională din cadrul centrului judeţean de resurse şi asistenţă educaţională/Centrului Municipiului Bucureşti de Resurse şi Asistenţă Educaţională, cu acordul părinţilor, tutorilor sau susţinătorilor legali.</w:t>
      </w:r>
    </w:p>
    <w:p w:rsidR="00026E81" w:rsidRPr="0088411E" w:rsidRDefault="00026E81" w:rsidP="00026E81">
      <w:pPr>
        <w:pStyle w:val="Bodytext20"/>
        <w:shd w:val="clear" w:color="auto" w:fill="auto"/>
        <w:spacing w:line="245" w:lineRule="exact"/>
        <w:ind w:firstLine="0"/>
        <w:jc w:val="left"/>
        <w:rPr>
          <w:rFonts w:ascii="Times New Roman" w:hAnsi="Times New Roman" w:cs="Times New Roman"/>
          <w:sz w:val="22"/>
          <w:szCs w:val="22"/>
        </w:rPr>
        <w:sectPr w:rsidR="00026E81" w:rsidRPr="0088411E" w:rsidSect="0033349D">
          <w:footerReference w:type="default" r:id="rId4"/>
          <w:pgSz w:w="11909" w:h="16840"/>
          <w:pgMar w:top="567" w:right="567" w:bottom="567" w:left="567" w:header="0" w:footer="3" w:gutter="0"/>
          <w:pgNumType w:start="2"/>
          <w:cols w:space="720"/>
          <w:noEndnote/>
          <w:titlePg/>
          <w:docGrid w:linePitch="360"/>
        </w:sectPr>
      </w:pPr>
      <w:r w:rsidRPr="0088411E">
        <w:rPr>
          <w:rFonts w:ascii="Times New Roman" w:hAnsi="Times New Roman" w:cs="Times New Roman"/>
          <w:sz w:val="22"/>
          <w:szCs w:val="22"/>
          <w:highlight w:val="lightGray"/>
        </w:rPr>
        <w:t>Art. 160.</w:t>
      </w:r>
      <w:r w:rsidRPr="0088411E">
        <w:rPr>
          <w:rFonts w:ascii="Times New Roman" w:hAnsi="Times New Roman" w:cs="Times New Roman"/>
          <w:sz w:val="22"/>
          <w:szCs w:val="22"/>
        </w:rPr>
        <w:t xml:space="preserve"> — </w:t>
      </w:r>
      <w:r w:rsidRPr="0088411E">
        <w:rPr>
          <w:rFonts w:ascii="Times New Roman" w:hAnsi="Times New Roman" w:cs="Times New Roman"/>
          <w:b w:val="0"/>
          <w:sz w:val="22"/>
          <w:szCs w:val="22"/>
        </w:rPr>
        <w:t>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w:t>
      </w:r>
    </w:p>
    <w:p w:rsidR="00026E81" w:rsidRPr="0088411E" w:rsidRDefault="00026E81" w:rsidP="00026E81">
      <w:pPr>
        <w:pStyle w:val="Bodytext20"/>
        <w:shd w:val="clear" w:color="auto" w:fill="auto"/>
        <w:spacing w:line="245" w:lineRule="exact"/>
        <w:ind w:firstLine="0"/>
        <w:jc w:val="left"/>
        <w:rPr>
          <w:rFonts w:ascii="Times New Roman" w:hAnsi="Times New Roman" w:cs="Times New Roman"/>
          <w:sz w:val="22"/>
          <w:szCs w:val="22"/>
        </w:rPr>
        <w:sectPr w:rsidR="00026E81" w:rsidRPr="0088411E" w:rsidSect="00815582">
          <w:type w:val="continuous"/>
          <w:pgSz w:w="11909" w:h="16840"/>
          <w:pgMar w:top="567" w:right="567" w:bottom="567" w:left="567" w:header="0" w:footer="3" w:gutter="0"/>
          <w:pgNumType w:start="2"/>
          <w:cols w:space="720"/>
          <w:noEndnote/>
          <w:titlePg/>
          <w:docGrid w:linePitch="360"/>
        </w:sectPr>
      </w:pPr>
    </w:p>
    <w:p w:rsidR="00026E81" w:rsidRPr="0088411E" w:rsidRDefault="00026E81" w:rsidP="00026E81">
      <w:pPr>
        <w:pStyle w:val="Bodytext20"/>
        <w:shd w:val="clear" w:color="auto" w:fill="auto"/>
        <w:spacing w:line="245" w:lineRule="exact"/>
        <w:ind w:firstLine="0"/>
        <w:jc w:val="left"/>
        <w:rPr>
          <w:rFonts w:ascii="Times New Roman" w:hAnsi="Times New Roman" w:cs="Times New Roman"/>
          <w:sz w:val="22"/>
          <w:szCs w:val="22"/>
        </w:rPr>
        <w:sectPr w:rsidR="00026E81" w:rsidRPr="0088411E" w:rsidSect="00815582">
          <w:type w:val="continuous"/>
          <w:pgSz w:w="11909" w:h="16840"/>
          <w:pgMar w:top="567" w:right="567" w:bottom="567" w:left="567" w:header="0" w:footer="3" w:gutter="0"/>
          <w:pgNumType w:start="2"/>
          <w:cols w:space="720"/>
          <w:noEndnote/>
          <w:titlePg/>
          <w:docGrid w:linePitch="360"/>
        </w:sectPr>
      </w:pPr>
    </w:p>
    <w:p w:rsidR="001711E6" w:rsidRDefault="001711E6"/>
    <w:sectPr w:rsidR="00171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1E" w:rsidRDefault="00026E81">
    <w:pPr>
      <w:rPr>
        <w:sz w:val="2"/>
        <w:szCs w:val="2"/>
      </w:rPr>
    </w:pPr>
    <w:r>
      <w:rPr>
        <w:noProof/>
        <w:lang w:eastAsia="ro-RO"/>
      </w:rPr>
      <mc:AlternateContent>
        <mc:Choice Requires="wps">
          <w:drawing>
            <wp:anchor distT="0" distB="0" distL="63500" distR="63500" simplePos="0" relativeHeight="251658240" behindDoc="1" locked="0" layoutInCell="1" allowOverlap="1">
              <wp:simplePos x="0" y="0"/>
              <wp:positionH relativeFrom="page">
                <wp:posOffset>3517900</wp:posOffset>
              </wp:positionH>
              <wp:positionV relativeFrom="page">
                <wp:posOffset>10193655</wp:posOffset>
              </wp:positionV>
              <wp:extent cx="192405" cy="140335"/>
              <wp:effectExtent l="0" t="0" r="1714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11E" w:rsidRDefault="00026E81">
                          <w:r>
                            <w:fldChar w:fldCharType="begin"/>
                          </w:r>
                          <w:r>
                            <w:instrText xml:space="preserve"> PAGE \* MERGEFORMAT </w:instrText>
                          </w:r>
                          <w:r>
                            <w:fldChar w:fldCharType="separate"/>
                          </w:r>
                          <w:r w:rsidRPr="00026E81">
                            <w:rPr>
                              <w:rStyle w:val="Headerorfooter"/>
                              <w:noProof/>
                            </w:rPr>
                            <w:t>3</w:t>
                          </w:r>
                          <w:r>
                            <w:rPr>
                              <w:rStyle w:val="Headerorfooter"/>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pt;margin-top:802.65pt;width:15.15pt;height:11.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KDqAIAAKY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" filled="f" stroked="f">
              <v:textbox style="mso-fit-shape-to-text:t" inset="0,0,0,0">
                <w:txbxContent>
                  <w:p w:rsidR="0088411E" w:rsidRDefault="00026E81">
                    <w:r>
                      <w:fldChar w:fldCharType="begin"/>
                    </w:r>
                    <w:r>
                      <w:instrText xml:space="preserve"> PAGE \* MERGEFORMAT </w:instrText>
                    </w:r>
                    <w:r>
                      <w:fldChar w:fldCharType="separate"/>
                    </w:r>
                    <w:r w:rsidRPr="00026E81">
                      <w:rPr>
                        <w:rStyle w:val="Headerorfooter"/>
                        <w:noProof/>
                      </w:rPr>
                      <w:t>3</w:t>
                    </w:r>
                    <w:r>
                      <w:rPr>
                        <w:rStyle w:val="Headerorfooter"/>
                        <w:b w:val="0"/>
                        <w:bCs w:val="0"/>
                      </w:rP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B6"/>
    <w:rsid w:val="000223B6"/>
    <w:rsid w:val="00026E81"/>
    <w:rsid w:val="001711E6"/>
    <w:rsid w:val="00BD0C64"/>
    <w:rsid w:val="00E329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96E4EA-F046-4CC2-BBAA-4A926032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26E81"/>
    <w:rPr>
      <w:rFonts w:ascii="Trebuchet MS" w:eastAsia="Trebuchet MS" w:hAnsi="Trebuchet MS" w:cs="Trebuchet MS"/>
      <w:b/>
      <w:bCs/>
      <w:sz w:val="20"/>
      <w:szCs w:val="20"/>
      <w:shd w:val="clear" w:color="auto" w:fill="FFFFFF"/>
    </w:rPr>
  </w:style>
  <w:style w:type="paragraph" w:customStyle="1" w:styleId="Bodytext20">
    <w:name w:val="Body text (2)"/>
    <w:basedOn w:val="Normal"/>
    <w:link w:val="Bodytext2"/>
    <w:rsid w:val="00026E81"/>
    <w:pPr>
      <w:widowControl w:val="0"/>
      <w:shd w:val="clear" w:color="auto" w:fill="FFFFFF"/>
      <w:spacing w:line="250" w:lineRule="exact"/>
      <w:ind w:hanging="920"/>
      <w:jc w:val="center"/>
    </w:pPr>
    <w:rPr>
      <w:rFonts w:ascii="Trebuchet MS" w:eastAsia="Trebuchet MS" w:hAnsi="Trebuchet MS" w:cs="Trebuchet MS"/>
      <w:b/>
      <w:bCs/>
    </w:rPr>
  </w:style>
  <w:style w:type="character" w:customStyle="1" w:styleId="Headerorfooter">
    <w:name w:val="Header or footer"/>
    <w:basedOn w:val="DefaultParagraphFont"/>
    <w:rsid w:val="00026E81"/>
    <w:rPr>
      <w:rFonts w:ascii="Trebuchet MS" w:eastAsia="Trebuchet MS" w:hAnsi="Trebuchet MS" w:cs="Trebuchet MS"/>
      <w:b/>
      <w:bCs/>
      <w:i w:val="0"/>
      <w:iCs w:val="0"/>
      <w:smallCaps w:val="0"/>
      <w:strike w:val="0"/>
      <w:color w:val="000000"/>
      <w:spacing w:val="40"/>
      <w:w w:val="100"/>
      <w:position w:val="0"/>
      <w:sz w:val="19"/>
      <w:szCs w:val="19"/>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76315">
      <w:bodyDiv w:val="1"/>
      <w:marLeft w:val="0"/>
      <w:marRight w:val="0"/>
      <w:marTop w:val="0"/>
      <w:marBottom w:val="0"/>
      <w:divBdr>
        <w:top w:val="none" w:sz="0" w:space="0" w:color="auto"/>
        <w:left w:val="none" w:sz="0" w:space="0" w:color="auto"/>
        <w:bottom w:val="none" w:sz="0" w:space="0" w:color="auto"/>
        <w:right w:val="none" w:sz="0" w:space="0" w:color="auto"/>
      </w:divBdr>
      <w:divsChild>
        <w:div w:id="616329758">
          <w:marLeft w:val="0"/>
          <w:marRight w:val="0"/>
          <w:marTop w:val="0"/>
          <w:marBottom w:val="0"/>
          <w:divBdr>
            <w:top w:val="none" w:sz="0" w:space="0" w:color="auto"/>
            <w:left w:val="none" w:sz="0" w:space="0" w:color="auto"/>
            <w:bottom w:val="single" w:sz="6" w:space="6" w:color="E5E5E5"/>
            <w:right w:val="none" w:sz="0" w:space="3" w:color="auto"/>
          </w:divBdr>
          <w:divsChild>
            <w:div w:id="15194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4685</Characters>
  <Application>Microsoft Office Word</Application>
  <DocSecurity>0</DocSecurity>
  <Lines>39</Lines>
  <Paragraphs>10</Paragraphs>
  <ScaleCrop>false</ScaleCrop>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6</cp:revision>
  <dcterms:created xsi:type="dcterms:W3CDTF">2019-04-19T09:15:00Z</dcterms:created>
  <dcterms:modified xsi:type="dcterms:W3CDTF">2019-04-19T09:25:00Z</dcterms:modified>
</cp:coreProperties>
</file>