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20" w:rsidRDefault="00D41620" w:rsidP="00D41620">
      <w:pPr>
        <w:ind w:left="165" w:right="1186"/>
        <w:jc w:val="both"/>
      </w:pPr>
      <w:r>
        <w:t xml:space="preserve">4 – Romiţă Iucu- </w:t>
      </w:r>
      <w:r>
        <w:rPr>
          <w:i/>
        </w:rPr>
        <w:t xml:space="preserve">“Managementul clasei”- </w:t>
      </w:r>
      <w:r>
        <w:t xml:space="preserve">Ed.”Credis”- Bucureşti- 2003 </w:t>
      </w:r>
    </w:p>
    <w:p w:rsidR="00D41620" w:rsidRDefault="00D41620" w:rsidP="00D41620">
      <w:pPr>
        <w:spacing w:after="0" w:line="259" w:lineRule="auto"/>
        <w:ind w:left="170"/>
        <w:jc w:val="both"/>
      </w:pPr>
    </w:p>
    <w:p w:rsidR="00D41620" w:rsidRDefault="00D41620" w:rsidP="00D41620">
      <w:pPr>
        <w:spacing w:after="0" w:line="259" w:lineRule="auto"/>
        <w:ind w:right="971"/>
        <w:jc w:val="both"/>
      </w:pPr>
    </w:p>
    <w:p w:rsidR="00D41620" w:rsidRDefault="00D41620" w:rsidP="00D41620">
      <w:pPr>
        <w:spacing w:after="3" w:line="259" w:lineRule="auto"/>
        <w:ind w:right="1023"/>
        <w:jc w:val="center"/>
      </w:pPr>
      <w:r>
        <w:t>ASIGURAREA CALITĂŢII ÎN EDUCAŢIA MODERNĂ</w:t>
      </w:r>
    </w:p>
    <w:p w:rsidR="00D41620" w:rsidRDefault="00D41620" w:rsidP="00D41620">
      <w:pPr>
        <w:spacing w:after="3" w:line="259" w:lineRule="auto"/>
        <w:ind w:right="1026"/>
        <w:jc w:val="center"/>
      </w:pPr>
      <w:r>
        <w:t>PRIN ÎNVĂŢAREA CENTRATĂ PE ELEV</w:t>
      </w:r>
    </w:p>
    <w:p w:rsidR="00D41620" w:rsidRDefault="00D41620" w:rsidP="00D41620">
      <w:pPr>
        <w:spacing w:after="0" w:line="259" w:lineRule="auto"/>
        <w:ind w:left="170"/>
        <w:jc w:val="both"/>
      </w:pPr>
    </w:p>
    <w:p w:rsidR="00D41620" w:rsidRDefault="00D41620" w:rsidP="00D41620">
      <w:pPr>
        <w:spacing w:after="14"/>
        <w:ind w:right="1189"/>
        <w:jc w:val="right"/>
      </w:pPr>
      <w:r>
        <w:t xml:space="preserve">prof.inv.primar MARIOARA MARIA CARMEN </w:t>
      </w:r>
    </w:p>
    <w:p w:rsidR="00D41620" w:rsidRDefault="00D41620" w:rsidP="00D41620">
      <w:pPr>
        <w:spacing w:after="14"/>
        <w:ind w:right="1189"/>
        <w:jc w:val="right"/>
      </w:pPr>
      <w:r>
        <w:t xml:space="preserve">LICEUL TEORETIC"  IULIA ZAMFIRESCU ", MIOVENI  </w:t>
      </w:r>
    </w:p>
    <w:p w:rsidR="00D41620" w:rsidRDefault="00D41620" w:rsidP="00D41620">
      <w:pPr>
        <w:spacing w:after="0" w:line="259" w:lineRule="auto"/>
        <w:ind w:left="170"/>
        <w:jc w:val="right"/>
      </w:pPr>
    </w:p>
    <w:p w:rsidR="00D41620" w:rsidRDefault="00D41620" w:rsidP="00D41620">
      <w:pPr>
        <w:spacing w:after="2" w:line="243" w:lineRule="auto"/>
        <w:ind w:left="165" w:right="949"/>
        <w:jc w:val="both"/>
      </w:pPr>
      <w:r>
        <w:t xml:space="preserve">               Modernizarea şi ridicarea calităţii învăţământului apare ca o necesitate obiectivă datorită faptului că modelele tradiţionale nu mai sunt pe deplin suficiente pentru a realiza însuşirea de către elev, în condiţii optime, a volumului şi a valorilor informaţionale în continuă creştere şi diversificare. </w:t>
      </w:r>
    </w:p>
    <w:p w:rsidR="00D41620" w:rsidRDefault="00D41620" w:rsidP="00D41620">
      <w:pPr>
        <w:ind w:left="165" w:right="1186"/>
        <w:jc w:val="both"/>
      </w:pPr>
      <w:r>
        <w:t xml:space="preserve">               Transformările profunde ce au loc în societatea contemporană cer formarea unei personalităţi creatoare, cu un unghi mare de deschidere asupra vieţii, capabilă să se adapteze la ritmul accelerat al dinamicii sociale, al dezvoltării ştiinţei şi tehnicii. </w:t>
      </w:r>
    </w:p>
    <w:p w:rsidR="00D41620" w:rsidRDefault="00D41620" w:rsidP="00D41620">
      <w:pPr>
        <w:ind w:left="165" w:right="1186"/>
        <w:jc w:val="both"/>
      </w:pPr>
      <w:r>
        <w:t xml:space="preserve"> Şcoala, ca factor de bază al progresului general al societăţii, este chemată să răspundă comenzii sociale, să formeze personalităţi umane competitive care să se poată integra eficient şi rapid în societate, unde urmează să devină factori de progres. Pornind de la această motivaţie majoră, consider că în şcoală, începând cu ciclul primar, când se pun bazele formării unei gândiri creatoare şi flexibile, se realizează cea mai mare parte a calităţilor unui om modern, capabil să se adapteze la dinamica vieţii sociale. </w:t>
      </w:r>
    </w:p>
    <w:p w:rsidR="00D41620" w:rsidRDefault="00D41620" w:rsidP="00D41620">
      <w:pPr>
        <w:ind w:left="165" w:right="1186"/>
        <w:jc w:val="both"/>
      </w:pPr>
      <w:r>
        <w:t xml:space="preserve">                 Punctele forte în asigurarea unei educaţii moderne de calitate sunt legate de flexibilizarea şi diversificarea sistemelor de formare iniţială şi continuă a cadrelor didactice şi de transformarea educaţiei într-o realitate concretă, eleborând strategii coerente, europene. Educaţia modernă este axată pe trei obiective, cu puncte diferite de centrare: dezvoltarea individului, care se poate realiza pe măsura potenţialului său maxim, dezvoltarea societăţii şi dezvoltarea economică, iar obiectivul principal al sistemelor educaţionale europene a fost identificat ca fiind “creşterea calităţii performanţei educaţionale a şcolii”. </w:t>
      </w:r>
    </w:p>
    <w:p w:rsidR="00D41620" w:rsidRDefault="00D41620" w:rsidP="00D41620">
      <w:pPr>
        <w:ind w:left="165" w:right="1186"/>
        <w:jc w:val="both"/>
      </w:pPr>
      <w:r>
        <w:t xml:space="preserve">                 Demersul calităţii în educaţia modernă urmăreşte centrarea învăţământului pe elev, dezvoltându-i întreg potenţialul şi pregătirea acestuia pentru provocările şi oportunităţile vieţii în societate; “printr-un sistem educaţional de calitate, elevii sunt “echipaţi” cu abilităţi şi cunoştinţe necesare participării şi contribuirii la complexele şi rapidele schimbări ale societăţii.” </w:t>
      </w:r>
    </w:p>
    <w:p w:rsidR="00D41620" w:rsidRDefault="00D41620" w:rsidP="00D41620">
      <w:pPr>
        <w:ind w:left="165" w:right="1186"/>
        <w:jc w:val="both"/>
      </w:pPr>
      <w:r>
        <w:t xml:space="preserve">                 La baza educaţiei moderne în vederea formării unei personalităţi competitive stă participarea copilului la procesul didactic în calitate de subiect al instruirii. Învăţătorul devine astfel un coleg  de învăţare alături de elevii pe care îi educă. El îşi asumă un dublu rol: de “interlocutor” egal, dar şi de observator, reglator, participant al activităţii instructiv-educative. </w:t>
      </w:r>
    </w:p>
    <w:p w:rsidR="00D41620" w:rsidRDefault="00D41620" w:rsidP="00D41620">
      <w:pPr>
        <w:ind w:left="165" w:right="1186"/>
        <w:jc w:val="both"/>
      </w:pPr>
      <w:r>
        <w:lastRenderedPageBreak/>
        <w:t xml:space="preserve">                Asigurarea calităţii în educaţia modernă se află într-o relaţie de interdependenţă cu învăţarea centrată pe elev care “oferă elevilor o mai mare autonomie şi un control sporit cu privire la disciplinele de studiu, la metodele de învăţare şi la ritmul de studiu”.(Gibbs, 1992). Această perspectivă subliniază caracteristicile fundamentale ale învăţării centrate pe elev, promovând ideea că elevilor trebuie să li se ofere un control sporit asupra învăţării prin asumarea de responsabilităţi cu privire la: ceea ce se învaţă, modul cum se învaţă şi de ce, momentul când se învaţă. </w:t>
      </w:r>
    </w:p>
    <w:p w:rsidR="00D41620" w:rsidRDefault="00D41620" w:rsidP="00D41620">
      <w:pPr>
        <w:ind w:left="165" w:right="1186"/>
        <w:jc w:val="both"/>
      </w:pPr>
      <w:r>
        <w:t xml:space="preserve">                Astfel, elevii trebuie să-şi asume un înalt grad de responsabilitate în contextul învăţării şi să îşi aleagă în mod activ scopurile, precum şi să îşi administreze învăţarea. Ei nu se mai pot baza pe faptul că învăţătorul ori persoana care predă la clasă le va spune ce, unde, cum şi când să gândească. Ei sunt cei care trebuie să înceapă să o facă. </w:t>
      </w:r>
    </w:p>
    <w:p w:rsidR="00D41620" w:rsidRDefault="00D41620" w:rsidP="00D41620">
      <w:pPr>
        <w:ind w:left="165" w:right="1186"/>
        <w:jc w:val="both"/>
      </w:pPr>
      <w:r>
        <w:t xml:space="preserve">                Elevii trebuie să fie activi, implicaţi ca parteneri în cadrul orelor de clasă şi ca proiectanţi/actori/evaluatori în acţiunile extra-clasă, iar învăţătorii trebuie să aplice acele practici şcolare care permit şi stimulează valorizarea elevilor ca “subiecţi ai propriei lor formări”. Cunoştinţe de-a gata, oferite chiar foarte corect şi cuprinzător, nu pot suplini în nici un fel participarea fiecărui elev la procesul construcţiei cunoaşterii. </w:t>
      </w:r>
    </w:p>
    <w:p w:rsidR="00D41620" w:rsidRDefault="00D41620" w:rsidP="00D41620">
      <w:pPr>
        <w:ind w:left="165" w:right="1186"/>
        <w:jc w:val="both"/>
      </w:pPr>
      <w:r>
        <w:t xml:space="preserve">Principiile care stau la baza învăţământului centrat pe elev se referă la accentul activităţii de învăţare pe persoana care învaţă, şi nu pe învăţător şi la recunoaşterea faptului că procesul de predare nu este decât unul dintre instrumentele care pot fi utilizate pentru a-i ajuta pe elevi să înveţe. </w:t>
      </w:r>
    </w:p>
    <w:p w:rsidR="00D41620" w:rsidRDefault="00D41620" w:rsidP="00D41620">
      <w:pPr>
        <w:ind w:left="165" w:right="1186"/>
        <w:jc w:val="both"/>
      </w:pPr>
      <w:r>
        <w:t xml:space="preserve">                 Cadrele didactice trebuie să încurajeze şi să faciliteze implicarea activă a elevilor în planificarea şi administrarea propriului lor proces de învăţare prin proiectarea structurată a oportunităţilor de învăţare atât în clasă, cât şi în afara ei. Înţelegerea procesului de învăţare nu trebuie să aparţină doar învăţătorului, ea trebuie împărtăşită şi elevilor. </w:t>
      </w:r>
    </w:p>
    <w:p w:rsidR="00D41620" w:rsidRDefault="00D41620" w:rsidP="00D41620">
      <w:pPr>
        <w:spacing w:after="0" w:line="259" w:lineRule="auto"/>
        <w:ind w:left="170"/>
        <w:jc w:val="both"/>
      </w:pPr>
    </w:p>
    <w:p w:rsidR="00D41620" w:rsidRDefault="00D41620" w:rsidP="00D41620">
      <w:pPr>
        <w:ind w:left="165" w:right="1186"/>
        <w:jc w:val="both"/>
      </w:pPr>
      <w:r>
        <w:t xml:space="preserve">Bibliografie </w:t>
      </w:r>
    </w:p>
    <w:p w:rsidR="00D41620" w:rsidRDefault="00D41620" w:rsidP="00D41620">
      <w:pPr>
        <w:numPr>
          <w:ilvl w:val="0"/>
          <w:numId w:val="1"/>
        </w:numPr>
        <w:spacing w:after="5" w:line="248" w:lineRule="auto"/>
        <w:ind w:left="406" w:right="1186" w:hanging="251"/>
        <w:jc w:val="both"/>
      </w:pPr>
      <w:r>
        <w:t xml:space="preserve">Badea, E., </w:t>
      </w:r>
      <w:r>
        <w:rPr>
          <w:i/>
        </w:rPr>
        <w:t>Calitate în educaţie</w:t>
      </w:r>
      <w:r>
        <w:t xml:space="preserve">, Bucureşti, Editura Orion, 2002. </w:t>
      </w:r>
    </w:p>
    <w:p w:rsidR="00D41620" w:rsidRDefault="00D41620" w:rsidP="00D41620">
      <w:pPr>
        <w:numPr>
          <w:ilvl w:val="0"/>
          <w:numId w:val="1"/>
        </w:numPr>
        <w:spacing w:after="5" w:line="248" w:lineRule="auto"/>
        <w:ind w:left="406" w:right="1186" w:hanging="251"/>
        <w:jc w:val="both"/>
      </w:pPr>
      <w:r>
        <w:t xml:space="preserve">Blyth, A., </w:t>
      </w:r>
      <w:r>
        <w:rPr>
          <w:i/>
        </w:rPr>
        <w:t xml:space="preserve">De la individualitate la caracter, </w:t>
      </w:r>
      <w:r>
        <w:t>în</w:t>
      </w:r>
      <w:r>
        <w:rPr>
          <w:i/>
        </w:rPr>
        <w:t xml:space="preserve"> Jurnalul britanic de studii educaţionale</w:t>
      </w:r>
      <w:r>
        <w:t xml:space="preserve">, Londra, 1981. </w:t>
      </w:r>
    </w:p>
    <w:p w:rsidR="00D41620" w:rsidRDefault="00D41620" w:rsidP="00D41620">
      <w:pPr>
        <w:numPr>
          <w:ilvl w:val="0"/>
          <w:numId w:val="1"/>
        </w:numPr>
        <w:spacing w:after="0" w:line="259" w:lineRule="auto"/>
        <w:ind w:left="406" w:right="1186" w:hanging="251"/>
        <w:jc w:val="both"/>
      </w:pPr>
      <w:r>
        <w:t>Bourdieu, P.,</w:t>
      </w:r>
      <w:r>
        <w:rPr>
          <w:i/>
        </w:rPr>
        <w:t>Social Critique of the Judgement of Taste</w:t>
      </w:r>
      <w:r>
        <w:t xml:space="preserve">, Londra, 1984 </w:t>
      </w:r>
    </w:p>
    <w:p w:rsidR="00D41620" w:rsidRDefault="00D41620" w:rsidP="00D41620">
      <w:pPr>
        <w:numPr>
          <w:ilvl w:val="0"/>
          <w:numId w:val="1"/>
        </w:numPr>
        <w:spacing w:after="5" w:line="248" w:lineRule="auto"/>
        <w:ind w:left="406" w:right="1186" w:hanging="251"/>
        <w:jc w:val="both"/>
      </w:pPr>
      <w:r>
        <w:t xml:space="preserve">Ciupercă, C., </w:t>
      </w:r>
      <w:r>
        <w:rPr>
          <w:i/>
        </w:rPr>
        <w:t xml:space="preserve">Asigurarea calităţii » </w:t>
      </w:r>
      <w:r>
        <w:t xml:space="preserve">Editura Tipoalex, Alexandria 2000 </w:t>
      </w:r>
    </w:p>
    <w:p w:rsidR="00D41620" w:rsidRDefault="00D41620" w:rsidP="00D41620">
      <w:pPr>
        <w:numPr>
          <w:ilvl w:val="0"/>
          <w:numId w:val="1"/>
        </w:numPr>
        <w:spacing w:after="5" w:line="248" w:lineRule="auto"/>
        <w:ind w:left="406" w:right="1186" w:hanging="251"/>
        <w:jc w:val="both"/>
      </w:pPr>
      <w:r>
        <w:t xml:space="preserve">Craia, S., </w:t>
      </w:r>
      <w:r>
        <w:rPr>
          <w:i/>
        </w:rPr>
        <w:t>Dicţionar de comunicare</w:t>
      </w:r>
      <w:r>
        <w:t xml:space="preserve">, Bucureşti, Editura AGER, 2001. </w:t>
      </w:r>
    </w:p>
    <w:p w:rsidR="00D41620" w:rsidRDefault="00D41620" w:rsidP="00D41620">
      <w:pPr>
        <w:spacing w:after="0" w:line="259" w:lineRule="auto"/>
        <w:ind w:left="170"/>
        <w:jc w:val="both"/>
      </w:pPr>
    </w:p>
    <w:p w:rsidR="00D41620" w:rsidRDefault="00D41620" w:rsidP="00D41620">
      <w:pPr>
        <w:spacing w:after="260" w:line="259" w:lineRule="auto"/>
        <w:ind w:left="170"/>
      </w:pPr>
    </w:p>
    <w:p w:rsidR="00D740F9" w:rsidRDefault="00D740F9"/>
    <w:sectPr w:rsidR="00D74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609"/>
    <w:multiLevelType w:val="hybridMultilevel"/>
    <w:tmpl w:val="FFFFFFFF"/>
    <w:lvl w:ilvl="0" w:tplc="574ECF9C">
      <w:start w:val="1"/>
      <w:numFmt w:val="decimal"/>
      <w:lvlText w:val="%1."/>
      <w:lvlJc w:val="left"/>
      <w:pPr>
        <w:ind w:left="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907AF8">
      <w:start w:val="1"/>
      <w:numFmt w:val="decimal"/>
      <w:lvlText w:val="%2."/>
      <w:lvlJc w:val="left"/>
      <w:pPr>
        <w:ind w:left="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2ABC4">
      <w:start w:val="1"/>
      <w:numFmt w:val="lowerRoman"/>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A06F3E">
      <w:start w:val="1"/>
      <w:numFmt w:val="decimal"/>
      <w:lvlText w:val="%4"/>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C8452E">
      <w:start w:val="1"/>
      <w:numFmt w:val="lowerLetter"/>
      <w:lvlText w:val="%5"/>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42628">
      <w:start w:val="1"/>
      <w:numFmt w:val="lowerRoman"/>
      <w:lvlText w:val="%6"/>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47D36">
      <w:start w:val="1"/>
      <w:numFmt w:val="decimal"/>
      <w:lvlText w:val="%7"/>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D40F84">
      <w:start w:val="1"/>
      <w:numFmt w:val="lowerLetter"/>
      <w:lvlText w:val="%8"/>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9C741C">
      <w:start w:val="1"/>
      <w:numFmt w:val="lowerRoman"/>
      <w:lvlText w:val="%9"/>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41620"/>
    <w:rsid w:val="00D41620"/>
    <w:rsid w:val="00D740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4513</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2022-06-20T17:34:00Z</dcterms:created>
  <dcterms:modified xsi:type="dcterms:W3CDTF">2022-06-20T17:34:00Z</dcterms:modified>
</cp:coreProperties>
</file>